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57D42833" w:rsidR="00B524CB" w:rsidRDefault="00784FE4" w:rsidP="00B524CB">
      <w:pPr>
        <w:pStyle w:val="Podtytu"/>
      </w:pPr>
      <w:r>
        <w:t xml:space="preserve">Wystawa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508B6883" w14:textId="6E27D59E" w:rsidR="00B626FF" w:rsidRPr="00636E7B" w:rsidRDefault="00636E7B" w:rsidP="00B524CB">
      <w:pPr>
        <w:pStyle w:val="Tytu"/>
        <w:rPr>
          <w:i/>
          <w:iCs w:val="0"/>
        </w:rPr>
      </w:pPr>
      <w:r w:rsidRPr="00636E7B">
        <w:rPr>
          <w:i/>
          <w:iCs w:val="0"/>
        </w:rPr>
        <w:t>Codzienne formy oporu</w:t>
      </w:r>
    </w:p>
    <w:p w14:paraId="07FE74EE" w14:textId="35BD42AD" w:rsidR="0045750A" w:rsidRPr="007A22AF" w:rsidRDefault="00636F9D" w:rsidP="007A22AF">
      <w:pPr>
        <w:pStyle w:val="Podtytu"/>
      </w:pPr>
      <w:r>
        <w:t>23/07/</w:t>
      </w:r>
      <w:r w:rsidR="00AC70CD">
        <w:t>2021</w:t>
      </w:r>
      <w:r w:rsidR="009D33EC">
        <w:rPr>
          <w:i/>
          <w:iCs/>
        </w:rPr>
        <w:t>—</w:t>
      </w:r>
      <w:r w:rsidR="00EC1FF1">
        <w:t>21/11/2021</w:t>
      </w:r>
    </w:p>
    <w:p w14:paraId="35C25ABC" w14:textId="2B6C513D" w:rsidR="00D00B17" w:rsidRPr="00D93CF0" w:rsidRDefault="00F03E4D" w:rsidP="00D00B17">
      <w:pPr>
        <w:pStyle w:val="Bezodstpw"/>
      </w:pPr>
      <w:r>
        <w:t>Tekst:</w:t>
      </w:r>
    </w:p>
    <w:p w14:paraId="415EE9B8" w14:textId="3839853B" w:rsidR="00B76353" w:rsidRDefault="00CF29F1" w:rsidP="00F03E4D">
      <w:pPr>
        <w:pStyle w:val="detale"/>
      </w:pPr>
      <w:r>
        <w:t>Ika Sienkiewicz-Nowacka</w:t>
      </w:r>
      <w:r w:rsidR="00DE14B6">
        <w:t>, kuratorka wystawy</w:t>
      </w:r>
    </w:p>
    <w:p w14:paraId="14A46686" w14:textId="77777777" w:rsidR="001941F2" w:rsidRPr="001941F2" w:rsidRDefault="001941F2" w:rsidP="001941F2">
      <w:pPr>
        <w:pStyle w:val="Bezodstpw"/>
        <w:ind w:left="839"/>
      </w:pPr>
      <w:r w:rsidRPr="001941F2">
        <w:rPr>
          <w:i/>
          <w:iCs/>
        </w:rPr>
        <w:t>Codzienne formy oporu</w:t>
      </w:r>
      <w:r w:rsidRPr="001941F2">
        <w:t xml:space="preserve"> to projekt będący afirmacją codzienności: współbycia, troski i gościnności. Jest wynikiem wieloletniej pracy artystów palestyńskich: Jumany Emil Abboud, Noor Abed, Ahmada Alaqry, Mirny Bamieh, kolektywu DAAR (Sandi Hilal i Alessandro Petti), Jumany Manny, Mohammada Saleha oraz międzynarodowego kolektywu badawczego Forensic Architecture, a także efektem odbytych w ciągu ostatnich pięciu lat rezydencji artystycznych, podróży, badań i pracy z lokalnymi społecznościami artystek z Polski – Karoliny Grzywnowicz, Joanny Rajkowskiej, Jaśminy Wójcik, Marty Wódz – i Wima Catrysse’a z Belgii. Rezydencje artystyczne w tym projekcie traktowałam jako medium i narzędzie pracy kuratorskiej. Umożliwiły mi realizowanie działań eksperymentalnych opartych na badaniu i pogłębionej relacji z miejscem, ludźmi, instytucją oraz środowiskiem, a przede wszystkim poznanie i zrozumienie wielopłaszczyznowej i uwikłanej w politykę i historię palestyńskiej rzeczywistości. Projekt rozwijał się wokół potrzeb artystek i artystów, ich spostrzeżeń i chęci wyrażenia istotnych spraw za pomocą wypowiedzi artystycznej. Udało nam się wytworzyć środowisko, w którym twórcy i twórczynie, kuratorki i kuratorzy, a także profesjonaliści sztuki nawiązywali relacje, często nieformalne, i brali aktywny udział we współtworzeniu tego projektu – komentując, kwestionując czy wspierając swoją wiedzą. Po latach tej organicznej pracy nadszedł moment, w którym zdecydowaliśmy się upublicznić za pomocą wystawy nasze spostrzeżenia, przemyślenia i doświadczenia z tego niezwykle inspirującego procesu.</w:t>
      </w:r>
    </w:p>
    <w:p w14:paraId="01FDEB97" w14:textId="77777777" w:rsidR="001941F2" w:rsidRPr="001941F2" w:rsidRDefault="001941F2" w:rsidP="001941F2">
      <w:pPr>
        <w:pStyle w:val="Bezodstpw"/>
        <w:ind w:left="839"/>
      </w:pPr>
    </w:p>
    <w:p w14:paraId="0543C039" w14:textId="77777777" w:rsidR="001941F2" w:rsidRPr="001941F2" w:rsidRDefault="001941F2" w:rsidP="001941F2">
      <w:pPr>
        <w:pStyle w:val="Bezodstpw"/>
        <w:ind w:left="839"/>
      </w:pPr>
      <w:r w:rsidRPr="001941F2">
        <w:t xml:space="preserve">W </w:t>
      </w:r>
      <w:r w:rsidRPr="001941F2">
        <w:rPr>
          <w:i/>
          <w:iCs/>
        </w:rPr>
        <w:t>Codziennych formach oporu</w:t>
      </w:r>
      <w:r w:rsidRPr="001941F2">
        <w:t xml:space="preserve"> dynamika i zmiana relacji gość – goszczony wpisane są już w samą konstrukcję projektu. Został on zapoczątkowany podczas mojego spotkania z Sally Abu Bakr, dyrektorką Biura Kultury z Ramallah. Abu Bakr chciała założyć program rezydencji w Palestynie, a ja zaoferowałam jej pomoc w realizacji tego przedsięwzięcia. Podczas pierwszej podróży do Ramallah w październiku 2016 roku zdałam sobie sprawę z tego, jak ważna jest praca z artystami palestyńskimi w kontekście uproszczeń i braku wiedzy na temat Palestyny w Polsce. Już sam kształt projektu pozwalał na przyjmowanie różnych ról i pozostawanie w zmiennych relacjach przez cały czas jego trwania. Palestyńscy artyści i artystki gościli w Polsce, mieszkali w Zamku, ale też odwiedzali prywatne domy. Następnie polscy i europejscy artyści i artystki byli goszczeni w Ramallah przez zaprzyjaźnione instytucje, a czasami przez rezydentów, którzy zdążyli już pomieszkać w Palestynie przez kilka miesięcy. Czas realizacji projektu nie był i nie jest ograniczony, jak to bywa w wypadku tych, w których z góry założony jest finalny akord w postaci wystawy. </w:t>
      </w:r>
      <w:r w:rsidRPr="001941F2">
        <w:lastRenderedPageBreak/>
        <w:t>Zmieniał się i zmienia wraz z nasyceniem relacji między uczestnikami projektu. Ci z kolei mogli być zapraszani do udziału w trzymiesięcznych rezydencjach czy krótszych wizytach studyjnych zarówno w Polsce, jak i w Ramallah. Podróże te czasem miały określony cel – stworzenie dokumentacji filmowej czy napisanie tekstu – a czasami nie. Organiczny i wędrowny charakter tego projektu dobrze oddaje praca Jaśminy Wójcik Sarha, w której artystka w podróż po Palestynie zabiera swoje córki, podróżujące w tempie dziecięcej ciekawości – doświadczają i opowiadają o niej z zachwytem.</w:t>
      </w:r>
    </w:p>
    <w:p w14:paraId="1331FF50" w14:textId="77777777" w:rsidR="001941F2" w:rsidRPr="001941F2" w:rsidRDefault="001941F2" w:rsidP="001941F2">
      <w:pPr>
        <w:pStyle w:val="Bezodstpw"/>
        <w:ind w:left="839"/>
      </w:pPr>
      <w:r w:rsidRPr="001941F2">
        <w:t xml:space="preserve">Ta otwarta i elastyczna formuła projektu </w:t>
      </w:r>
      <w:r w:rsidRPr="001941F2">
        <w:rPr>
          <w:i/>
          <w:iCs/>
        </w:rPr>
        <w:t>Codzienne formy oporu</w:t>
      </w:r>
      <w:r w:rsidRPr="001941F2">
        <w:t xml:space="preserve"> dawała dodatkową szansę nie tylko na zmianę perspektywy, ale też na wyjście poza asymetrię, a raczej odwrócenie tej asymetrii. Ważnym krokiem w kierunku wywracania asymetrii i dialogicznej pracy było zaproszenie artystów i artystek do rozmów o koncepcji wystawy, jej tytule i formie, które odbywały się podczas rezydencji oraz publicznych działań w ramach projektu. Wystawa Codzienne formy oporu ma być nie tylko wyrazem chęci pokazania Palestyny i Palestyńczyków w formach, które celebrują ich podmiotowość i sprawczość mimo codziennego doświadczania przemocy i kontroli, ale też praktykowaniem równości i dialogu.</w:t>
      </w:r>
    </w:p>
    <w:p w14:paraId="001C57CE" w14:textId="77777777" w:rsidR="001941F2" w:rsidRPr="001941F2" w:rsidRDefault="001941F2" w:rsidP="001941F2">
      <w:pPr>
        <w:pStyle w:val="Bezodstpw"/>
        <w:ind w:left="839"/>
      </w:pPr>
    </w:p>
    <w:p w14:paraId="5A612375" w14:textId="77777777" w:rsidR="001941F2" w:rsidRPr="001941F2" w:rsidRDefault="001941F2" w:rsidP="001941F2">
      <w:pPr>
        <w:pStyle w:val="Bezodstpw"/>
        <w:ind w:left="839"/>
      </w:pPr>
      <w:r w:rsidRPr="001941F2">
        <w:t>W wystawie zostały zebrane projekty, które eksponują praktyki pomagające zachować człowieczeństwo i stawić opór w czasie zawirowań społecznych, politycznych czy ekologicznych nie tylko na terenie okupowanej Palestyny.</w:t>
      </w:r>
    </w:p>
    <w:p w14:paraId="5B9A28BE" w14:textId="77777777" w:rsidR="001941F2" w:rsidRPr="001941F2" w:rsidRDefault="001941F2" w:rsidP="001941F2">
      <w:pPr>
        <w:pStyle w:val="Bezodstpw"/>
        <w:ind w:left="839"/>
      </w:pPr>
    </w:p>
    <w:p w14:paraId="4419DA6A" w14:textId="77777777" w:rsidR="001941F2" w:rsidRPr="001941F2" w:rsidRDefault="001941F2" w:rsidP="001941F2">
      <w:pPr>
        <w:pStyle w:val="Bezodstpw"/>
        <w:ind w:left="839"/>
      </w:pPr>
      <w:r w:rsidRPr="001941F2">
        <w:t>Czasami są to wielkie i naznaczone polityką sprawy, jak przywołane w projekcie Forensic Architecture Blokada budowy muru w Battir powstrzymanie budowy muru w miejscowości Battir, który odseparowuje ziemie Zachodniego Brzegu od Izraela wzdłuż tzw. zielonej linii, wyznaczonej w 1967 roku, przed zakończeniem wojny sześciodniowej. Innym razem jednak opór rozumiany jest nie jako polityczny, fizyczny czy zbrojny sprzeciw wobec dokuczliwej opresji, ale jako trwanie, gościnność i praktyki pamięci stosowane przeciw zapomnieniu. Opór to też małe codzienne gesty i rytuały: przygotowywanie posiłków, uprawianie roślin, śpiewanie piosenek, odbudowywanie zburzonych domów.</w:t>
      </w:r>
    </w:p>
    <w:p w14:paraId="2EDCE2BC" w14:textId="77777777" w:rsidR="001941F2" w:rsidRPr="001941F2" w:rsidRDefault="001941F2" w:rsidP="001941F2">
      <w:pPr>
        <w:pStyle w:val="Bezodstpw"/>
        <w:ind w:left="839"/>
      </w:pPr>
    </w:p>
    <w:p w14:paraId="6AF3120C" w14:textId="77777777" w:rsidR="001941F2" w:rsidRPr="001941F2" w:rsidRDefault="001941F2" w:rsidP="001941F2">
      <w:pPr>
        <w:pStyle w:val="Bezodstpw"/>
        <w:ind w:left="839"/>
      </w:pPr>
      <w:r w:rsidRPr="001941F2">
        <w:t>W konsekwencji wydarzeń związanych między innymi z powstaniem w XX wieku państwa Izrael i wysiedleniem tysięcy Palestyńczyków z terenów historycznej Palestyny dla jej wielu arabskich mieszkańców podstawowe prawa człowieka, takie jak posiadanie paszportu z wpisaną narodowością, a co za tym idzie, prawo do podróżowania, stały się przywilejem. Z powodu ograniczonego przez okupanta dostępu do ziemi, skomplikowanych podziałów administracyjnych – a też jej astronomicznych cen – uprawiać ją mogą tylko nieliczni Palestyńczycy. Dostęp do wody jest reglamentowany, zwykłe spacery po wzgórzach i w ogóle przemieszczanie się po terytoriach palestyńskich są mocno utrudnione.</w:t>
      </w:r>
    </w:p>
    <w:p w14:paraId="0A0848B4" w14:textId="77777777" w:rsidR="001941F2" w:rsidRPr="001941F2" w:rsidRDefault="001941F2" w:rsidP="001941F2">
      <w:pPr>
        <w:pStyle w:val="Bezodstpw"/>
        <w:ind w:left="839"/>
      </w:pPr>
    </w:p>
    <w:p w14:paraId="7AD9DC0E" w14:textId="77777777" w:rsidR="001941F2" w:rsidRPr="001941F2" w:rsidRDefault="001941F2" w:rsidP="001941F2">
      <w:pPr>
        <w:pStyle w:val="Bezodstpw"/>
        <w:ind w:left="839"/>
      </w:pPr>
      <w:r w:rsidRPr="001941F2">
        <w:lastRenderedPageBreak/>
        <w:t>Jedynie większe miasta na Palestyńskich Terytoriach Okupowanych znajdują się w autonomicznej tzw. strefie A. Znaczny obszar Zachodniego Brzegu oraz Gazy usiany jest i otoczony pierścieniem nielegalnie zbudowanych osiedli izraelskich. Izrael w pełni kontroluje dopływ prądu i wody do Palestyny. Zarówno formalnie pozostająca stolicą Palestyny Jerozolima, jak i oddzielona od reszty państwa Strefa Gazy, a także większość obszarów wiejskich terytorium palestyńskiego są administracyjnie, politycznie i ekonomicznie zależne od Izraela.</w:t>
      </w:r>
    </w:p>
    <w:p w14:paraId="12DC0DE8" w14:textId="77777777" w:rsidR="001941F2" w:rsidRPr="001941F2" w:rsidRDefault="001941F2" w:rsidP="001941F2">
      <w:pPr>
        <w:pStyle w:val="Bezodstpw"/>
        <w:ind w:left="839"/>
      </w:pPr>
    </w:p>
    <w:p w14:paraId="1F0E4AD6" w14:textId="77777777" w:rsidR="001941F2" w:rsidRPr="001941F2" w:rsidRDefault="001941F2" w:rsidP="001941F2">
      <w:pPr>
        <w:pStyle w:val="Bezodstpw"/>
        <w:ind w:left="839"/>
      </w:pPr>
      <w:r w:rsidRPr="001941F2">
        <w:t xml:space="preserve">Z tych powodów w Palestynie każde, najzwyklejsze nawet działanie, każdy gest, samo trwanie ma polityczne znaczenie. Wspólne coniedzielne gotowanie w górach, sadzenie roślin jadalnych na skrawku ziemi w obozie dla uchodźców, kolekcjonowanie skamielin to czynności, które życiu nadają sens i pomagają przywrócić ludzki wymiar światu naznaczonemu konfliktem izraelsko-palestyńskim. Działania te dzięki artystom i artystkom przekraczają codzienny porządek ludzkiego życia, nabierają mocy i zyskują walor sprawczości. </w:t>
      </w:r>
    </w:p>
    <w:p w14:paraId="0259A726" w14:textId="77777777" w:rsidR="001941F2" w:rsidRPr="001941F2" w:rsidRDefault="001941F2" w:rsidP="001941F2">
      <w:pPr>
        <w:pStyle w:val="Bezodstpw"/>
        <w:ind w:left="839"/>
      </w:pPr>
    </w:p>
    <w:p w14:paraId="446E0125" w14:textId="77777777" w:rsidR="001941F2" w:rsidRPr="001941F2" w:rsidRDefault="001941F2" w:rsidP="001941F2">
      <w:pPr>
        <w:pStyle w:val="Bezodstpw"/>
        <w:ind w:left="839"/>
      </w:pPr>
      <w:r w:rsidRPr="001941F2">
        <w:t xml:space="preserve">Artyści i artystki biorący udział w wystawie unikają ciężkiej retoryki politycznej, skupiają się natomiast na pielęgnowaniu pamięci i budowaniu palestyńskiej tożsamości poprzez odwoływanie się do dawnych zwyczajów i tradycji. </w:t>
      </w:r>
    </w:p>
    <w:p w14:paraId="4B2EC5F4" w14:textId="77777777" w:rsidR="001941F2" w:rsidRPr="001941F2" w:rsidRDefault="001941F2" w:rsidP="001941F2">
      <w:pPr>
        <w:pStyle w:val="Bezodstpw"/>
        <w:ind w:left="839"/>
      </w:pPr>
    </w:p>
    <w:p w14:paraId="5C6D067E" w14:textId="77777777" w:rsidR="001941F2" w:rsidRPr="001941F2" w:rsidRDefault="001941F2" w:rsidP="001941F2">
      <w:pPr>
        <w:pStyle w:val="Bezodstpw"/>
        <w:ind w:left="839"/>
      </w:pPr>
      <w:r w:rsidRPr="001941F2">
        <w:t>Strategią Mirny Bamieh, artystki pochodzącej ze wschodniej Jerozolimy, stało się gotowanie. Bamieh, kolekcjonując stare przepisy i gotując, wspiera kolektywność i przywraca pamięć lokalnych społeczności w Palestynie. Podczas dwukrotnej rezydencji w Polsce zajmowały ją sprawy związane z fermentacją, która w jej praktyce staje się metaforą życia: narodzin, łączenia się, dzielenia, umierania. Podczas rezydencji artystka napisała sześć opowiadań uzupełnionych przepisami, w których intymne historie zaczerpnięte z jej życia wplecione są w bardzo sugestywne i sensoryczne opisy rzeczywistości. Artystka przygląda jej się z kobiecej perspektywy, przepuszcza przez swoją wrażliwość, emocjonalność, uważność na smaki i zapachy dzieciństwa, czułość i ciepło drugiego człowieka.</w:t>
      </w:r>
    </w:p>
    <w:p w14:paraId="5D9EFC58" w14:textId="77777777" w:rsidR="001941F2" w:rsidRPr="001941F2" w:rsidRDefault="001941F2" w:rsidP="001941F2">
      <w:pPr>
        <w:pStyle w:val="Bezodstpw"/>
        <w:ind w:left="839"/>
      </w:pPr>
    </w:p>
    <w:p w14:paraId="37439D60" w14:textId="77777777" w:rsidR="001941F2" w:rsidRPr="001941F2" w:rsidRDefault="001941F2" w:rsidP="001941F2">
      <w:pPr>
        <w:pStyle w:val="Bezodstpw"/>
        <w:ind w:left="839"/>
      </w:pPr>
      <w:r w:rsidRPr="001941F2">
        <w:t xml:space="preserve">Mohammad Saleh, projektant i praktyk permakultury, w swoich działaniach sięga po tradycyjne kolektywne metody współdzielenia ziemi i jej uprawy. W zainspirowanej pobytem w Polsce pracy Saleh przywraca symboliczne i ludowe znaczenia roślin, tych obecnie często uważanych za chwasty, a niegdyś mających istotne znaczenie w ziołolecznictwie. Na wystawie we współpracy z etnobiolożką Iwą Kołodziejską oraz botaniczką Magdą Chechłowską zaaranżuje przestrzeń, w której można doświadczyć spokoju płynącego z obcowania z naturą, ale też poznać właściwości roślin zasadzonych na wystawie. W Palestynie roślinność jest często wplątana w politykę, doświadczamy jej braku ze względu na utrudniony dostęp do takich zasobów, jak ziemia czy woda. Nie ma miejsca dla przyrody z powodu gęstego skupienia ludności w miastach lub obozach dla uchodźców, kolejne pokolenia wychowywane z dala od wsi tracą z czasem wiedzę pomagającą uprawiać i zbierać rośliny. Dla wielu </w:t>
      </w:r>
      <w:r w:rsidRPr="001941F2">
        <w:lastRenderedPageBreak/>
        <w:t xml:space="preserve">współczesnych artystów palestyńskich ten obszar staje się tematem badań i refleksji. Również przebywająca dwukrotnie na rezydencji w Palestynie Karolina Grzywnowicz zajmowała się kwestią wykorzystania natury do działań o charakterze przemocowym i politycznym. Na przykład tymianek i szałwia, które od lat stanowią bardzo ważny składnik kuchni palestyńskiej, zostały objęte przez Izrael ochroną i ich zbieranie jest zakazane. Za posiadanie roślin czy nasion tych gatunków grozi Palestyńczykom kara więzienia i konfiskata np. samochodu, w którym zostały zarekwirowane. </w:t>
      </w:r>
    </w:p>
    <w:p w14:paraId="37F94ACF" w14:textId="77777777" w:rsidR="001941F2" w:rsidRPr="001941F2" w:rsidRDefault="001941F2" w:rsidP="001941F2">
      <w:pPr>
        <w:pStyle w:val="Bezodstpw"/>
        <w:ind w:left="839"/>
      </w:pPr>
    </w:p>
    <w:p w14:paraId="71B7C65B" w14:textId="77777777" w:rsidR="001941F2" w:rsidRPr="001941F2" w:rsidRDefault="001941F2" w:rsidP="001941F2">
      <w:pPr>
        <w:pStyle w:val="Bezodstpw"/>
        <w:ind w:left="839"/>
      </w:pPr>
      <w:r w:rsidRPr="001941F2">
        <w:t>Opowieści i stare baśnie w projektach Jumany Emil Abboud stają się narzędziem mającym moc przenoszenia słuchacza w czas dzieciństwa i utracone po 1948 roku miejsca. Joanna Rajkowska dzięki uprzejmości Mohamada Badwana, sklepikarza i kolekcjonera kamieni z Ramallah, realizuje projekt, który opowiada o ludzkiej więzi z ziemią, kamieniami, przyrodą, o mistycznym związku, pielęgnowanym na tych terenach przed politycznymi i narodowymi podziałami. Podobnie jak Rajkowska, Noor Abed i Jumana Manna odwołują się w swoich projektach do czasów, gdy na terenach obecnej Palestyny i Izraela ludzie zgodnie współegzystowali, niezależnie od dzielących ich religii czy zwyczajów. Jumana Manna opowiada o etnomuzykologu Robercie Lachmannie i szukaniu potencjału różnorodności poprzez muzykę, dźwięk i słuchanie. Prawo do współistnienia i obecności jest konstytuowane przez stare opowieści, legendy i pieśni wracające w pracach artystów biorących udział w wystawie. Wiele z nich inspirowanych jest zapisami aktywnego na początku XX wieku arabsko-palestyńskiego etnologa Tawfiqa Canaana. Noor Abed w projekcie zatytułowanym nasze pieśni były gotowe na każdą nadchodzącą wojnę stawia pytanie o to, w jaki sposób folklor, jako zrodzony z ziemi i określonych miejsc, może stać się powszechnym narzędziem emancypacyjnym dla ludzi. Takim, które pomoże im odzyskać historię i ziemię oraz przepisać rzeczywistość tak, by uniezależnić się od dyskursów, które zdominowały myślenie o palestyńskiej tożsamości.</w:t>
      </w:r>
    </w:p>
    <w:p w14:paraId="32418520" w14:textId="77777777" w:rsidR="001941F2" w:rsidRPr="001941F2" w:rsidRDefault="001941F2" w:rsidP="001941F2">
      <w:pPr>
        <w:pStyle w:val="Bezodstpw"/>
        <w:ind w:left="839"/>
      </w:pPr>
    </w:p>
    <w:p w14:paraId="169CDE0A" w14:textId="77777777" w:rsidR="001941F2" w:rsidRPr="001941F2" w:rsidRDefault="001941F2" w:rsidP="001941F2">
      <w:pPr>
        <w:pStyle w:val="Bezodstpw"/>
        <w:ind w:left="839"/>
      </w:pPr>
      <w:r w:rsidRPr="001941F2">
        <w:t xml:space="preserve">Grzywnowicz na wystawie zaprezentuje projekt </w:t>
      </w:r>
      <w:r w:rsidRPr="001941F2">
        <w:rPr>
          <w:i/>
          <w:iCs/>
        </w:rPr>
        <w:t>Bedtime</w:t>
      </w:r>
      <w:r w:rsidRPr="001941F2">
        <w:t>. Będąc w Palestynie, spotykała się z mieszkańcami obozów dla uchodźców, którzy dzielili się z nią swoimi rodzinnymi pieśniami. Wiele z podarowanych artystce utworów to kołysanki. Śpiewane w obozach nabierają szczególnego znaczenia, gdyż są wykonywane wbrew panującym tam, niesprzyjającym spaniu, warunkom. Noce w obozach są często zakłócane interwencjami wojsk izraelskich. Wykorzystane w projekcie kołysanki stanowią zapis często wymazywanych z pamięci tekstów i tłumionych wspomnień. W wielu z nich przebija nostalgia za utraconym światem, niektóre zostały stworzone z potrzeby opowiedzenia o doświadczeniu uchodźstwa. Spotkanie z Grzywnowicz pozwoliło wielu osobom uzmysłowić sobie kruchość i ulotność ich pamięci. Wraz z odchodzeniem starszego pokolenia, pełniącego rolę strażnika kolektywnej pamięci, zapomnieniu ulegają pieśni opowiadające o pochodzeniu i palestyńskiej tożsamości.</w:t>
      </w:r>
    </w:p>
    <w:p w14:paraId="1AFEEF11" w14:textId="77777777" w:rsidR="001941F2" w:rsidRPr="001941F2" w:rsidRDefault="001941F2" w:rsidP="001941F2">
      <w:pPr>
        <w:pStyle w:val="Bezodstpw"/>
        <w:ind w:left="839"/>
      </w:pPr>
      <w:r w:rsidRPr="001941F2">
        <w:t xml:space="preserve">Również belgijski artysta Wim Catrysse, będąc na rezydencji artystycznej w Palestynie, zawędrował do obozów dla palestyńskich uchodźców. Powstała praca Ukazując obecność, w której zestawił zdjęcia nietoperzy z fragmentami opowieści </w:t>
      </w:r>
      <w:r w:rsidRPr="001941F2">
        <w:lastRenderedPageBreak/>
        <w:t>uchodźców. Nietoperze, często obecne w palestyńskiej literaturze oraz poezji, symbolizują izraelskich żołnierzy wchodzących, najczęściej nocami, do obozów dla uchodźców. Historie nagrane przez Wima Catrysse’a podczas wielogodzinnych spotkań są przesycone przemocą, cierpieniem, śmiercią i rozłąką. Oglądając tę pracę, dzielimy z artystą niezgodę i bezsilność wobec ogromu nieszczęścia, które jest na porządku dziennym w życiu mieszkańców tych miejsc.</w:t>
      </w:r>
    </w:p>
    <w:p w14:paraId="412612F4" w14:textId="77777777" w:rsidR="001941F2" w:rsidRPr="001941F2" w:rsidRDefault="001941F2" w:rsidP="001941F2">
      <w:pPr>
        <w:pStyle w:val="Bezodstpw"/>
        <w:ind w:left="839"/>
      </w:pPr>
    </w:p>
    <w:p w14:paraId="6CB1E1D2" w14:textId="77777777" w:rsidR="001941F2" w:rsidRPr="001941F2" w:rsidRDefault="001941F2" w:rsidP="001941F2">
      <w:pPr>
        <w:pStyle w:val="Bezodstpw"/>
        <w:ind w:left="839"/>
      </w:pPr>
      <w:r w:rsidRPr="001941F2">
        <w:t xml:space="preserve">W rozmowach z Palestyńczykami dotyczących najbardziej błahych, codziennych spraw przewijają się tematy związane z nakbah (wysiedleniem, katastrofą z 1948 roku), hijrah (migracją) oraz muqawamah (walką). Jednak palestyński słownik codziennych pojęć jest znacznie bogatszy i bardziej pozytywny. Znajdziemy w nim (one)h (kolektywność), która jest powiązana z niegdysiejszymi rytuałami wspólnej pracy. Mujawaara oznacza wspólne życie, w którym relacje nie są oparte na idei odwzajemniania, ale na komunizmie, rozumianym za Davidem Graeberem jako relacja międzyludzka, funkcjonująca według zasady „od każdego w miarę jego możliwości i każdemu według jego potrzeb”. Inne często przewijające się pojęcia to madefeh – gościnność, holom – marzenie oraz wiele słów określających różnorodne formy, miejsca i czas spotkań – lammeh, jom’aa, qa’deh. To właśnie gościnność jest drugim ważnym wątkiem, który rozwijają uczestnicy projektu. </w:t>
      </w:r>
    </w:p>
    <w:p w14:paraId="7F31248E" w14:textId="77777777" w:rsidR="001941F2" w:rsidRPr="001941F2" w:rsidRDefault="001941F2" w:rsidP="001941F2">
      <w:pPr>
        <w:pStyle w:val="Bezodstpw"/>
        <w:ind w:left="839"/>
      </w:pPr>
    </w:p>
    <w:p w14:paraId="1B5451C0" w14:textId="77777777" w:rsidR="001941F2" w:rsidRPr="001941F2" w:rsidRDefault="001941F2" w:rsidP="001941F2">
      <w:pPr>
        <w:pStyle w:val="Bezodstpw"/>
        <w:ind w:left="839"/>
      </w:pPr>
      <w:r w:rsidRPr="001941F2">
        <w:t xml:space="preserve">Symboliczna jest w tym kontekście praca Sandi Hilal </w:t>
      </w:r>
      <w:r w:rsidRPr="001941F2">
        <w:rPr>
          <w:i/>
          <w:iCs/>
        </w:rPr>
        <w:t>Al-Madhafah</w:t>
      </w:r>
      <w:r w:rsidRPr="001941F2">
        <w:t xml:space="preserve">, stanowiąca kwintesencję arabskiej gościnności, którą zaprezentujemy podczas wystawy w </w:t>
      </w:r>
      <w:r w:rsidRPr="001941F2">
        <w:rPr>
          <w:i/>
          <w:iCs/>
        </w:rPr>
        <w:t>U–jazdowskim</w:t>
      </w:r>
      <w:r w:rsidRPr="001941F2">
        <w:t>.</w:t>
      </w:r>
    </w:p>
    <w:p w14:paraId="0CD0F776" w14:textId="77777777" w:rsidR="001941F2" w:rsidRPr="001941F2" w:rsidRDefault="001941F2" w:rsidP="001941F2">
      <w:pPr>
        <w:pStyle w:val="Bezodstpw"/>
        <w:ind w:left="839"/>
      </w:pPr>
    </w:p>
    <w:p w14:paraId="47B232FF" w14:textId="77777777" w:rsidR="001941F2" w:rsidRPr="001941F2" w:rsidRDefault="001941F2" w:rsidP="001941F2">
      <w:pPr>
        <w:pStyle w:val="Bezodstpw"/>
        <w:ind w:left="839"/>
      </w:pPr>
      <w:r w:rsidRPr="001941F2">
        <w:t xml:space="preserve">Salon, zwany po arabsku al madhafah, to przestrzeń między sferami publiczną i prywatną, pomieszczenie służące okazywaniu gościnności. Ma ono potencjał, by podważyć tradycyjny podział ról na gościa i gospodarza, a zarazem nadać aktom gościnności nowe znaczenie społeczno-polityczne. </w:t>
      </w:r>
    </w:p>
    <w:p w14:paraId="1A5B4545" w14:textId="77777777" w:rsidR="001941F2" w:rsidRPr="001941F2" w:rsidRDefault="001941F2" w:rsidP="001941F2">
      <w:pPr>
        <w:pStyle w:val="Bezodstpw"/>
        <w:ind w:left="839"/>
      </w:pPr>
    </w:p>
    <w:p w14:paraId="3A7D195F" w14:textId="77777777" w:rsidR="001941F2" w:rsidRPr="001941F2" w:rsidRDefault="001941F2" w:rsidP="001941F2">
      <w:pPr>
        <w:pStyle w:val="Bezodstpw"/>
        <w:ind w:left="839"/>
      </w:pPr>
      <w:r w:rsidRPr="001941F2">
        <w:t>Al-Madhafah to miejsce, które można odwiedzić – raz na wystawie, innym razem w obozie dla uchodźców w Boden albo w obozie dla palestyńskich uchodźców w Fawwar w pobliżu Hebronu. Jednak kluczową rolę w projekcie Hilal pełni Gospodarz/Gospodyni, niezależnie od tego, czy jest nią sama artystka, od lat mieszkająca w Szwecji, czy Yasmeen Mahmoud, Syryjka, która jako pierwsza rozpoczęła współpracę z Sandi, czy Ayat, młoda muzułmańska uchodźczyni z bardzo tradycyjnej rodziny, mieszkająca w Fawwar, albo Afgańczyk Shafiq Karkar, który od lat pracuje jako portier w holenderskim Van Abbemuseum. Hilal odwraca role przypisane migrantom i uchodźcom przez „gospodarzy” w krajach, gdzie szukają schronienia, a także kobietom w męskiej społeczności Fawwar.</w:t>
      </w:r>
    </w:p>
    <w:p w14:paraId="6C4318EA" w14:textId="77777777" w:rsidR="001941F2" w:rsidRPr="001941F2" w:rsidRDefault="001941F2" w:rsidP="001941F2">
      <w:pPr>
        <w:pStyle w:val="Bezodstpw"/>
        <w:ind w:left="839"/>
      </w:pPr>
    </w:p>
    <w:p w14:paraId="651FCD2E" w14:textId="77777777" w:rsidR="001941F2" w:rsidRPr="001941F2" w:rsidRDefault="001941F2" w:rsidP="001941F2">
      <w:pPr>
        <w:pStyle w:val="Bezodstpw"/>
        <w:ind w:left="839"/>
      </w:pPr>
      <w:r w:rsidRPr="001941F2">
        <w:t xml:space="preserve">Praca Hilal jest projektem artystycznym, również ona sama, jako jego autorka, odstępuje swoją wiodącą rolę artystki i wraz z nią decyzyjność o wypełnieniu tegoż projektu treścią innym, mniej uprzywilejowanym osobom: Ayat, Shafiq’owi czy </w:t>
      </w:r>
      <w:r w:rsidRPr="001941F2">
        <w:lastRenderedPageBreak/>
        <w:t xml:space="preserve">Yasmeen. Tym gestem inicjuje przemianę i wyzwala moce, które być może nie miałyby szansy ukazać się w pełnej krasie w innym kontekście. Ayat dojrzewa jako feministka i działaczka na rzecz kobiet, tworzy świetnie prosperującą na terenie obozu firmę </w:t>
      </w:r>
      <w:r w:rsidRPr="001941F2">
        <w:rPr>
          <w:i/>
          <w:iCs/>
        </w:rPr>
        <w:t>Healthy Food</w:t>
      </w:r>
      <w:r w:rsidRPr="001941F2">
        <w:t xml:space="preserve"> (</w:t>
      </w:r>
      <w:r w:rsidRPr="001941F2">
        <w:rPr>
          <w:i/>
          <w:iCs/>
        </w:rPr>
        <w:t>Zdrowe jedzenie</w:t>
      </w:r>
      <w:r w:rsidRPr="001941F2">
        <w:t>), a swoją pałeczkę gospodyni Al-Madhafah przekazuje koleżankom z innych obozów dla uchodźców w Palestynie.</w:t>
      </w:r>
    </w:p>
    <w:p w14:paraId="100F4770" w14:textId="77777777" w:rsidR="001941F2" w:rsidRPr="001941F2" w:rsidRDefault="001941F2" w:rsidP="001941F2">
      <w:pPr>
        <w:pStyle w:val="Bezodstpw"/>
        <w:ind w:left="839"/>
      </w:pPr>
      <w:r w:rsidRPr="001941F2">
        <w:t xml:space="preserve">Zapraszając na rezydencję do </w:t>
      </w:r>
      <w:r w:rsidRPr="001941F2">
        <w:rPr>
          <w:i/>
          <w:iCs/>
        </w:rPr>
        <w:t xml:space="preserve">U–jazdowskiego </w:t>
      </w:r>
      <w:r w:rsidRPr="001941F2">
        <w:t xml:space="preserve">Gospodynie i Gospodarza rozsianych po świecie Al-Madhafah, chcemy okazać im naszą gościnność, troskę i wdzięczność. Udział Ayat, Yasmeen i Shafiq’a w programie wokół wystawy </w:t>
      </w:r>
      <w:r w:rsidRPr="001941F2">
        <w:rPr>
          <w:i/>
          <w:iCs/>
        </w:rPr>
        <w:t xml:space="preserve">Codzienne formy oporu </w:t>
      </w:r>
      <w:r w:rsidRPr="001941F2">
        <w:t xml:space="preserve">czyni ich współgospodarzami </w:t>
      </w:r>
      <w:r w:rsidRPr="001941F2">
        <w:rPr>
          <w:i/>
          <w:iCs/>
        </w:rPr>
        <w:t>U–jazdowskiego</w:t>
      </w:r>
      <w:r w:rsidRPr="001941F2">
        <w:t xml:space="preserve"> i współautorami spotkania z publicznością. W Warszawie symbolicznie zjednoczą się wspomniane Al-Madhafah, a gospodarze, choć zapewne nie spotkają się, będą pracować we wspólnej przestrzeni i zostawiać ślad swojej gościnności oraz wydarzającego się tam podczas czteromiesięcznej wystawy uczenia, oduczania, akceptowania i dzielenia.</w:t>
      </w:r>
    </w:p>
    <w:p w14:paraId="3534527A" w14:textId="77777777" w:rsidR="001941F2" w:rsidRPr="001941F2" w:rsidRDefault="001941F2" w:rsidP="001941F2">
      <w:pPr>
        <w:pStyle w:val="Bezodstpw"/>
        <w:ind w:left="839"/>
      </w:pPr>
    </w:p>
    <w:p w14:paraId="50F03C59" w14:textId="61CF72BE" w:rsidR="00D86346" w:rsidRDefault="001941F2" w:rsidP="001941F2">
      <w:pPr>
        <w:pStyle w:val="Bezodstpw"/>
        <w:ind w:left="839"/>
      </w:pPr>
      <w:r w:rsidRPr="001941F2">
        <w:t>Wystawa jest przystankiem na drodze budowania wzajemnych relacji między środowiskami twórczymi Polski i Palestyny. Projekt Codzienne formy oporu początkowo nie był pomyślany jako wystawa. Ale to ten format wydał mi się najwłaściwszy, by podzielić się z szerszym gronem osobistymi doświadczeniami z tej podróży. Miałam okazję nauczyć się podczas niej tak wiele, ale też niemało oduczyć. Na wystawie prezentujemy krótkie filmy i materiały graficzne, które powstawały w ciągu kilku lat pracy nad tym projektem, dzielimy się notatkami z dyskusji i spotkań osób, które współuczestniczyły w procesie tworzenia tego projektu. W publikacji towarzyszącej wystawie zebraliśmy wiele artefaktów: plakatów, broszur, pocztówek, opowieści, piosenek i przepisów, żebyście Państwo mogli z nami zgłębiać palestyńską codzienność.</w:t>
      </w:r>
    </w:p>
    <w:p w14:paraId="6E71D91C" w14:textId="77777777" w:rsidR="001941F2" w:rsidRDefault="001941F2" w:rsidP="001941F2">
      <w:pPr>
        <w:pStyle w:val="Bezodstpw"/>
      </w:pPr>
    </w:p>
    <w:p w14:paraId="48FB4E7D" w14:textId="4A018394" w:rsidR="00F03E4D" w:rsidRDefault="00F03E4D" w:rsidP="00F03E4D">
      <w:pPr>
        <w:pStyle w:val="Bezodstpw"/>
      </w:pPr>
      <w:r w:rsidRPr="00E75E29">
        <w:t>Artyści</w:t>
      </w:r>
      <w:r>
        <w:t xml:space="preserve"> biorący udział w wystawie</w:t>
      </w:r>
    </w:p>
    <w:p w14:paraId="0290E1F2" w14:textId="2CA81287" w:rsidR="00D86346" w:rsidRPr="00B769A3" w:rsidRDefault="00F03E4D" w:rsidP="00F03E4D">
      <w:pPr>
        <w:pStyle w:val="detale"/>
      </w:pPr>
      <w:r>
        <w:t>Jumana Emil Abboud</w:t>
      </w:r>
      <w:r w:rsidRPr="65C42D44">
        <w:rPr>
          <w:i/>
          <w:iCs/>
        </w:rPr>
        <w:t>,</w:t>
      </w:r>
      <w:r>
        <w:t xml:space="preserve"> Noor Abed</w:t>
      </w:r>
      <w:r w:rsidRPr="65C42D44">
        <w:rPr>
          <w:i/>
          <w:iCs/>
        </w:rPr>
        <w:t>,</w:t>
      </w:r>
      <w:r>
        <w:t xml:space="preserve"> Ahmad Alakra</w:t>
      </w:r>
      <w:r w:rsidRPr="65C42D44">
        <w:rPr>
          <w:i/>
          <w:iCs/>
        </w:rPr>
        <w:t>,</w:t>
      </w:r>
      <w:r>
        <w:t xml:space="preserve"> Mirna Bamieh</w:t>
      </w:r>
      <w:r w:rsidRPr="65C42D44">
        <w:rPr>
          <w:i/>
          <w:iCs/>
        </w:rPr>
        <w:t>,</w:t>
      </w:r>
      <w:r>
        <w:t xml:space="preserve"> Wim Catrysse</w:t>
      </w:r>
      <w:r w:rsidRPr="65C42D44">
        <w:rPr>
          <w:i/>
          <w:iCs/>
        </w:rPr>
        <w:t>,</w:t>
      </w:r>
      <w:r>
        <w:t xml:space="preserve"> Maja Demska</w:t>
      </w:r>
      <w:r w:rsidRPr="65C42D44">
        <w:rPr>
          <w:i/>
          <w:iCs/>
        </w:rPr>
        <w:t>,</w:t>
      </w:r>
      <w:r>
        <w:t xml:space="preserve"> Forensic Architecture</w:t>
      </w:r>
      <w:r w:rsidRPr="65C42D44">
        <w:rPr>
          <w:i/>
          <w:iCs/>
        </w:rPr>
        <w:t>,</w:t>
      </w:r>
      <w:r>
        <w:t xml:space="preserve"> Karolina Grzywnowicz</w:t>
      </w:r>
      <w:r w:rsidRPr="65C42D44">
        <w:rPr>
          <w:i/>
          <w:iCs/>
        </w:rPr>
        <w:t>,</w:t>
      </w:r>
      <w:r>
        <w:t xml:space="preserve"> DAAR (Sandi Hilal i Alessandro Petti)</w:t>
      </w:r>
      <w:r w:rsidRPr="65C42D44">
        <w:rPr>
          <w:i/>
          <w:iCs/>
        </w:rPr>
        <w:t>,</w:t>
      </w:r>
      <w:r>
        <w:t xml:space="preserve"> Jumana Manna</w:t>
      </w:r>
      <w:r w:rsidRPr="65C42D44">
        <w:rPr>
          <w:i/>
          <w:iCs/>
        </w:rPr>
        <w:t>,</w:t>
      </w:r>
      <w:r>
        <w:t xml:space="preserve"> Joanna Rajkowska</w:t>
      </w:r>
      <w:r w:rsidRPr="65C42D44">
        <w:rPr>
          <w:i/>
          <w:iCs/>
        </w:rPr>
        <w:t>,</w:t>
      </w:r>
      <w:r>
        <w:t xml:space="preserve"> Studio lekko, Mohammad Saleh</w:t>
      </w:r>
      <w:r w:rsidRPr="65C42D44">
        <w:rPr>
          <w:i/>
          <w:iCs/>
        </w:rPr>
        <w:t>,</w:t>
      </w:r>
      <w:r>
        <w:t xml:space="preserve"> </w:t>
      </w:r>
      <w:r w:rsidRPr="000F2159">
        <w:t>u</w:t>
      </w:r>
      <w:r>
        <w:t>mschichten, Marta Wódz</w:t>
      </w:r>
      <w:r w:rsidRPr="65C42D44">
        <w:rPr>
          <w:i/>
          <w:iCs/>
        </w:rPr>
        <w:t>,</w:t>
      </w:r>
      <w:r>
        <w:t xml:space="preserve"> Jaśmina Wójcik</w:t>
      </w:r>
    </w:p>
    <w:p w14:paraId="33C1CBE6" w14:textId="77777777" w:rsidR="00C572A4" w:rsidRDefault="00C572A4" w:rsidP="00C572A4">
      <w:pPr>
        <w:pStyle w:val="HTML-wstpniesformatowany"/>
        <w:spacing w:line="276" w:lineRule="auto"/>
        <w:ind w:firstLine="919"/>
        <w:contextualSpacing/>
        <w:rPr>
          <w:rFonts w:ascii="Times New Roman" w:hAnsi="Times New Roman" w:cs="Times New Roman"/>
          <w:sz w:val="24"/>
          <w:szCs w:val="24"/>
        </w:rPr>
      </w:pPr>
    </w:p>
    <w:p w14:paraId="5131750A" w14:textId="77777777" w:rsidR="00332AEC" w:rsidRPr="00C97AC7" w:rsidRDefault="00332AEC" w:rsidP="00332AEC">
      <w:pPr>
        <w:pStyle w:val="Bezodstpw"/>
      </w:pPr>
      <w:r w:rsidRPr="001218A7">
        <w:t>Organizator</w:t>
      </w:r>
    </w:p>
    <w:p w14:paraId="7163DA18" w14:textId="77777777" w:rsidR="00332AEC" w:rsidRDefault="00332AEC" w:rsidP="00332AEC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72452F11" w14:textId="77777777" w:rsidR="00332AEC" w:rsidRDefault="00EA0FD6" w:rsidP="00332AEC">
      <w:pPr>
        <w:pStyle w:val="Bezodstpw"/>
      </w:pPr>
      <w:r w:rsidRPr="00B769A3">
        <w:t xml:space="preserve">Wystawa została objęta honorowym patronatem </w:t>
      </w:r>
    </w:p>
    <w:p w14:paraId="2DD80247" w14:textId="77777777" w:rsidR="00332AEC" w:rsidRDefault="00EA0FD6" w:rsidP="00332AEC">
      <w:pPr>
        <w:pStyle w:val="detale"/>
      </w:pPr>
      <w:r w:rsidRPr="00B769A3">
        <w:t>Ambasady Państwa Palestyny w Polsce</w:t>
      </w:r>
    </w:p>
    <w:p w14:paraId="3D0F56D2" w14:textId="77777777" w:rsidR="00332AEC" w:rsidRDefault="00332AEC" w:rsidP="00332AEC">
      <w:pPr>
        <w:pStyle w:val="Bezodstpw"/>
        <w:rPr>
          <w:lang w:bidi="pl-PL"/>
        </w:rPr>
      </w:pPr>
      <w:r>
        <w:rPr>
          <w:lang w:bidi="pl-PL"/>
        </w:rPr>
        <w:t>Wystawa sfinansowana ze środków</w:t>
      </w:r>
    </w:p>
    <w:p w14:paraId="10828F88" w14:textId="756C0BAA" w:rsidR="00332AEC" w:rsidRPr="00185F0C" w:rsidRDefault="00332AEC" w:rsidP="00332AEC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>
        <w:rPr>
          <w:lang w:bidi="pl-PL"/>
        </w:rPr>
        <w:t>,</w:t>
      </w:r>
      <w:r w:rsidRPr="00324270">
        <w:rPr>
          <w:lang w:bidi="pl-PL"/>
        </w:rPr>
        <w:t xml:space="preserve"> Dziedzictwa Narodowego</w:t>
      </w:r>
      <w:r>
        <w:rPr>
          <w:lang w:bidi="pl-PL"/>
        </w:rPr>
        <w:t xml:space="preserve"> i Sportu</w:t>
      </w:r>
    </w:p>
    <w:p w14:paraId="46CFA422" w14:textId="51888B41" w:rsidR="00332AEC" w:rsidRDefault="00332AEC" w:rsidP="00332AEC">
      <w:pPr>
        <w:pStyle w:val="Bezodstpw"/>
      </w:pPr>
      <w:r>
        <w:t xml:space="preserve">Wsparcie </w:t>
      </w:r>
      <w:r w:rsidR="00FD72A6">
        <w:t>finansowe</w:t>
      </w:r>
    </w:p>
    <w:p w14:paraId="4FBD7F34" w14:textId="46927620" w:rsidR="00693DA5" w:rsidRPr="00EA0FD6" w:rsidRDefault="00EA0FD6" w:rsidP="00332AEC">
      <w:pPr>
        <w:pStyle w:val="detale"/>
      </w:pPr>
      <w:r w:rsidRPr="00273B22">
        <w:lastRenderedPageBreak/>
        <w:t xml:space="preserve">Ambasada Belgii </w:t>
      </w:r>
      <w:r>
        <w:t>–</w:t>
      </w:r>
      <w:r w:rsidRPr="00273B22">
        <w:t xml:space="preserve"> Przedstawicielstwo Flandrii w Polsce</w:t>
      </w:r>
      <w:r w:rsidR="00332AEC">
        <w:t xml:space="preserve">, </w:t>
      </w:r>
      <w:r w:rsidRPr="00273B22">
        <w:t>Ambasada Szwecji</w:t>
      </w:r>
      <w:r w:rsidR="00332AEC">
        <w:t xml:space="preserve">, </w:t>
      </w:r>
      <w:r w:rsidR="00693DA5">
        <w:t>Fundacja Współpracy Polsko-Niemieckiej</w:t>
      </w:r>
    </w:p>
    <w:p w14:paraId="21A9BD3B" w14:textId="77777777" w:rsidR="00332AEC" w:rsidRDefault="00B56412" w:rsidP="00332AEC">
      <w:pPr>
        <w:pStyle w:val="Bezodstpw"/>
      </w:pPr>
      <w:r w:rsidRPr="00273B22">
        <w:t xml:space="preserve">Rezydencje artystów biorących udział w wystawie </w:t>
      </w:r>
      <w:r w:rsidRPr="00273B22">
        <w:rPr>
          <w:i/>
        </w:rPr>
        <w:t>Codzienne formy oporu</w:t>
      </w:r>
      <w:r w:rsidRPr="00273B22">
        <w:t xml:space="preserve"> realizowane </w:t>
      </w:r>
      <w:r>
        <w:t>są</w:t>
      </w:r>
      <w:r w:rsidRPr="00273B22">
        <w:t xml:space="preserve"> we współpracy </w:t>
      </w:r>
    </w:p>
    <w:p w14:paraId="5ED4E790" w14:textId="26D0D609" w:rsidR="00786DB2" w:rsidRDefault="00B56412" w:rsidP="00332AEC">
      <w:pPr>
        <w:pStyle w:val="detale"/>
      </w:pPr>
      <w:r w:rsidRPr="00273B22">
        <w:t>Centrum Sztuki Współczesnej Zamek Ujazdowski z miastem Ramallah przy wsparciu Miast</w:t>
      </w:r>
      <w:r>
        <w:t>a</w:t>
      </w:r>
      <w:r w:rsidRPr="00273B22">
        <w:t xml:space="preserve"> Stołeczne</w:t>
      </w:r>
      <w:r>
        <w:t>go</w:t>
      </w:r>
      <w:r w:rsidRPr="00273B22">
        <w:t xml:space="preserve"> Warszawa, Instytut</w:t>
      </w:r>
      <w:r>
        <w:t>u</w:t>
      </w:r>
      <w:r w:rsidRPr="00273B22">
        <w:t xml:space="preserve"> Adama Mickiewicza i Akademie Schloss Solitude</w:t>
      </w:r>
    </w:p>
    <w:p w14:paraId="007D5F6F" w14:textId="49F2D307" w:rsidR="006A3BA0" w:rsidRPr="00D93CF0" w:rsidRDefault="006A3BA0" w:rsidP="006A3BA0">
      <w:pPr>
        <w:pStyle w:val="Bezodstpw"/>
      </w:pPr>
      <w:r w:rsidRPr="00D93CF0">
        <w:t>Partnerzy</w:t>
      </w:r>
    </w:p>
    <w:p w14:paraId="406EA2AE" w14:textId="623FAB8B" w:rsidR="006A3BA0" w:rsidRDefault="006A3BA0" w:rsidP="00FD72A6">
      <w:pPr>
        <w:pStyle w:val="detale"/>
      </w:pPr>
      <w:r>
        <w:t>Dekoma, miuki.pl</w:t>
      </w:r>
      <w:r w:rsidR="00D30400">
        <w:t>, Kabex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3CD41E0E" w:rsidR="00861ED6" w:rsidRPr="00945D2F" w:rsidRDefault="004F35D1" w:rsidP="00C97AC7">
      <w:pPr>
        <w:pStyle w:val="detale"/>
      </w:pPr>
      <w:r>
        <w:t>„</w:t>
      </w:r>
      <w:r w:rsidR="00693DA5">
        <w:t>Aktivist</w:t>
      </w:r>
      <w:r>
        <w:t>”</w:t>
      </w:r>
      <w:r w:rsidR="00693DA5">
        <w:t>, Dwójka, TVP Kultura</w:t>
      </w:r>
    </w:p>
    <w:p w14:paraId="0E5A9A18" w14:textId="77777777" w:rsidR="00693DA5" w:rsidRDefault="00C03829" w:rsidP="00C03829">
      <w:pPr>
        <w:pStyle w:val="Nagwek1"/>
        <w:rPr>
          <w:rStyle w:val="Nagwek1Znak"/>
        </w:rPr>
      </w:pPr>
      <w:r w:rsidRPr="00A44561">
        <w:rPr>
          <w:rStyle w:val="Nagwek1Znak"/>
        </w:rPr>
        <w:t>Więcej informacji</w:t>
      </w:r>
    </w:p>
    <w:p w14:paraId="561BC9F7" w14:textId="0CDED84A" w:rsidR="00C03829" w:rsidRPr="00693DA5" w:rsidRDefault="00CA6179" w:rsidP="00693DA5">
      <w:pPr>
        <w:pStyle w:val="link"/>
        <w:rPr>
          <w:rStyle w:val="Nagwek1Znak"/>
          <w:rFonts w:cs="Arial"/>
          <w:sz w:val="21"/>
          <w:szCs w:val="21"/>
        </w:rPr>
      </w:pPr>
      <w:hyperlink r:id="rId8" w:history="1">
        <w:r w:rsidR="00693DA5" w:rsidRPr="00E92610">
          <w:rPr>
            <w:rStyle w:val="Hipercze"/>
          </w:rPr>
          <w:t>https://u-jazdowski.pl/program/wystawy/codzienne-formy-oporu</w:t>
        </w:r>
      </w:hyperlink>
    </w:p>
    <w:p w14:paraId="650E2809" w14:textId="370807EC" w:rsidR="001F7982" w:rsidRDefault="0045750A" w:rsidP="00211CF3">
      <w:pPr>
        <w:pStyle w:val="Nagwek1"/>
      </w:pPr>
      <w:r w:rsidRPr="00D93CF0">
        <w:t>Materiały prasowe</w:t>
      </w:r>
    </w:p>
    <w:p w14:paraId="390A474D" w14:textId="77777777" w:rsidR="00C572A4" w:rsidRDefault="00CA6179" w:rsidP="00C572A4">
      <w:pPr>
        <w:rPr>
          <w:rFonts w:ascii="Times New Roman" w:hAnsi="Times New Roman" w:cs="Times New Roman"/>
          <w:sz w:val="24"/>
          <w:szCs w:val="24"/>
        </w:rPr>
      </w:pPr>
      <w:hyperlink r:id="rId9" w:history="1">
        <w:r w:rsidR="00C572A4">
          <w:rPr>
            <w:rStyle w:val="Hipercze"/>
          </w:rPr>
          <w:t>https://u-jazdowski.pl/press-room/komunikaty-prasowe/codzienne-formy-oporu</w:t>
        </w:r>
      </w:hyperlink>
    </w:p>
    <w:p w14:paraId="30E3E4CD" w14:textId="73C3F961" w:rsidR="0045750A" w:rsidRPr="00D93CF0" w:rsidRDefault="0045750A" w:rsidP="00C97AC7">
      <w:pPr>
        <w:pStyle w:val="Nagwek1"/>
      </w:pPr>
      <w:r w:rsidRPr="00D93CF0">
        <w:t>Kontakt dla mediów</w:t>
      </w:r>
    </w:p>
    <w:p w14:paraId="32752521" w14:textId="547CFD62" w:rsidR="005029BC" w:rsidRPr="00BA32D2" w:rsidRDefault="00693DA5" w:rsidP="005029BC">
      <w:pPr>
        <w:pStyle w:val="Bezodstpw"/>
      </w:pPr>
      <w:r>
        <w:t>Maria Nóżka</w:t>
      </w:r>
    </w:p>
    <w:p w14:paraId="4A21A1E9" w14:textId="5AAD8376" w:rsidR="005029BC" w:rsidRDefault="005029BC" w:rsidP="00211CF3">
      <w:pPr>
        <w:pStyle w:val="Body"/>
        <w:tabs>
          <w:tab w:val="clear" w:pos="8505"/>
          <w:tab w:val="left" w:pos="8225"/>
        </w:tabs>
        <w:spacing w:after="0"/>
        <w:rPr>
          <w:u w:val="single"/>
        </w:rPr>
      </w:pPr>
      <w:r>
        <w:t>Centrum Sztuki Współczesnej</w:t>
      </w:r>
      <w:r>
        <w:br/>
        <w:t>Zamek Ujazdowski</w:t>
      </w:r>
      <w:r w:rsidRPr="00BA32D2">
        <w:br/>
        <w:t xml:space="preserve">+ </w:t>
      </w:r>
      <w:r w:rsidR="00693DA5" w:rsidRPr="00693DA5">
        <w:t>48 510 160 774</w:t>
      </w:r>
      <w:r w:rsidRPr="00BA32D2">
        <w:br/>
      </w:r>
      <w:hyperlink r:id="rId10" w:history="1">
        <w:r w:rsidR="008B29E3" w:rsidRPr="00AE2D60">
          <w:rPr>
            <w:rStyle w:val="Hipercze"/>
          </w:rPr>
          <w:t>m.nozka@u-jazdowski.pl</w:t>
        </w:r>
      </w:hyperlink>
    </w:p>
    <w:p w14:paraId="3AFD6F76" w14:textId="4D991BA9" w:rsidR="008B29E3" w:rsidRDefault="008B29E3" w:rsidP="00211CF3">
      <w:pPr>
        <w:pStyle w:val="Body"/>
        <w:tabs>
          <w:tab w:val="clear" w:pos="8505"/>
          <w:tab w:val="left" w:pos="8225"/>
        </w:tabs>
        <w:spacing w:after="0"/>
        <w:rPr>
          <w:u w:val="single"/>
        </w:rPr>
      </w:pPr>
    </w:p>
    <w:p w14:paraId="05C6FB6A" w14:textId="13C18D21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 w:rsidRPr="008B29E3">
        <w:t>Kacper Twardowski</w:t>
      </w:r>
    </w:p>
    <w:p w14:paraId="034FDF4B" w14:textId="7197A01B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Centrum Sztuki Współczesnej</w:t>
      </w:r>
      <w:r>
        <w:br/>
        <w:t>Zamek Ujazdowski</w:t>
      </w:r>
    </w:p>
    <w:p w14:paraId="60E61528" w14:textId="1B310225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+ 48 510 160 638</w:t>
      </w:r>
    </w:p>
    <w:p w14:paraId="0CDDDF89" w14:textId="34A5E94D" w:rsidR="00A57DF7" w:rsidRPr="00EC7D45" w:rsidRDefault="00CA6179" w:rsidP="00EC7D45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hyperlink r:id="rId11" w:history="1">
        <w:r w:rsidR="008B29E3" w:rsidRPr="00AE2D60">
          <w:rPr>
            <w:rStyle w:val="Hipercze"/>
          </w:rPr>
          <w:t>k.twardowski@u-jazdowski.pl</w:t>
        </w:r>
      </w:hyperlink>
    </w:p>
    <w:sectPr w:rsidR="00A57DF7" w:rsidRPr="00EC7D45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79A35" w14:textId="77777777" w:rsidR="00CA6179" w:rsidRDefault="00CA6179" w:rsidP="00295A47">
      <w:r>
        <w:separator/>
      </w:r>
    </w:p>
  </w:endnote>
  <w:endnote w:type="continuationSeparator" w:id="0">
    <w:p w14:paraId="3C18A282" w14:textId="77777777" w:rsidR="00CA6179" w:rsidRDefault="00CA6179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8BBAA" w14:textId="77777777" w:rsidR="00CA6179" w:rsidRDefault="00CA6179" w:rsidP="00295A47">
      <w:r>
        <w:separator/>
      </w:r>
    </w:p>
  </w:footnote>
  <w:footnote w:type="continuationSeparator" w:id="0">
    <w:p w14:paraId="33C33059" w14:textId="77777777" w:rsidR="00CA6179" w:rsidRDefault="00CA6179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61C8F"/>
    <w:rsid w:val="000652CF"/>
    <w:rsid w:val="00080870"/>
    <w:rsid w:val="00081EB0"/>
    <w:rsid w:val="00086340"/>
    <w:rsid w:val="00086F70"/>
    <w:rsid w:val="000A2A0D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941F2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E7263"/>
    <w:rsid w:val="001F20A0"/>
    <w:rsid w:val="001F76DA"/>
    <w:rsid w:val="001F7982"/>
    <w:rsid w:val="00201593"/>
    <w:rsid w:val="0020286E"/>
    <w:rsid w:val="00202FE1"/>
    <w:rsid w:val="0021031E"/>
    <w:rsid w:val="00211972"/>
    <w:rsid w:val="00211CF3"/>
    <w:rsid w:val="00212E09"/>
    <w:rsid w:val="00222DC5"/>
    <w:rsid w:val="00241767"/>
    <w:rsid w:val="00243E6C"/>
    <w:rsid w:val="00245A1F"/>
    <w:rsid w:val="00246DFF"/>
    <w:rsid w:val="00256A13"/>
    <w:rsid w:val="00265033"/>
    <w:rsid w:val="002708E0"/>
    <w:rsid w:val="00275E1A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32AEC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6360C"/>
    <w:rsid w:val="00673B60"/>
    <w:rsid w:val="0068033A"/>
    <w:rsid w:val="0068683F"/>
    <w:rsid w:val="00693DA5"/>
    <w:rsid w:val="006A2EA5"/>
    <w:rsid w:val="006A39C6"/>
    <w:rsid w:val="006A3BA0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C1E53"/>
    <w:rsid w:val="007C5F85"/>
    <w:rsid w:val="007D2835"/>
    <w:rsid w:val="007D48AE"/>
    <w:rsid w:val="007F5872"/>
    <w:rsid w:val="007F6B7F"/>
    <w:rsid w:val="008169D4"/>
    <w:rsid w:val="00821412"/>
    <w:rsid w:val="0083023F"/>
    <w:rsid w:val="008328F7"/>
    <w:rsid w:val="0085205A"/>
    <w:rsid w:val="00852A76"/>
    <w:rsid w:val="008555AB"/>
    <w:rsid w:val="00855E1E"/>
    <w:rsid w:val="0086146F"/>
    <w:rsid w:val="00861ED6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F28F4"/>
    <w:rsid w:val="00903CFF"/>
    <w:rsid w:val="009076B6"/>
    <w:rsid w:val="00934FD8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0222"/>
    <w:rsid w:val="009D33EC"/>
    <w:rsid w:val="009D7555"/>
    <w:rsid w:val="009F00CC"/>
    <w:rsid w:val="009F3009"/>
    <w:rsid w:val="009F4074"/>
    <w:rsid w:val="009F4839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70CD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6353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82104"/>
    <w:rsid w:val="00C841AF"/>
    <w:rsid w:val="00C844C0"/>
    <w:rsid w:val="00C97AC7"/>
    <w:rsid w:val="00C97C0B"/>
    <w:rsid w:val="00CA6179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21A6F"/>
    <w:rsid w:val="00D30400"/>
    <w:rsid w:val="00D34F23"/>
    <w:rsid w:val="00D3676E"/>
    <w:rsid w:val="00D37C78"/>
    <w:rsid w:val="00D44419"/>
    <w:rsid w:val="00D56714"/>
    <w:rsid w:val="00D60829"/>
    <w:rsid w:val="00D625BF"/>
    <w:rsid w:val="00D86346"/>
    <w:rsid w:val="00D9264D"/>
    <w:rsid w:val="00D93CF0"/>
    <w:rsid w:val="00D96E28"/>
    <w:rsid w:val="00D97339"/>
    <w:rsid w:val="00D97E4C"/>
    <w:rsid w:val="00DB5329"/>
    <w:rsid w:val="00DC025D"/>
    <w:rsid w:val="00DD607F"/>
    <w:rsid w:val="00DE14B6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C7D45"/>
    <w:rsid w:val="00EF16A1"/>
    <w:rsid w:val="00EF1CBC"/>
    <w:rsid w:val="00EF5807"/>
    <w:rsid w:val="00EF69E4"/>
    <w:rsid w:val="00F022A5"/>
    <w:rsid w:val="00F03E4D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51285"/>
    <w:rsid w:val="00F6116C"/>
    <w:rsid w:val="00F62B94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03E4D"/>
    <w:pPr>
      <w:widowControl w:val="0"/>
      <w:tabs>
        <w:tab w:val="clear" w:pos="8505"/>
      </w:tabs>
      <w:suppressAutoHyphens/>
      <w:spacing w:after="0" w:line="240" w:lineRule="auto"/>
      <w:ind w:left="0" w:right="0"/>
    </w:pPr>
    <w:rPr>
      <w:rFonts w:ascii="Times New Roman" w:eastAsia="SimSun" w:hAnsi="Times New Roman" w:cs="Mangal"/>
      <w:bCs w:val="0"/>
      <w:iCs w:val="0"/>
      <w:kern w:val="2"/>
      <w:sz w:val="20"/>
      <w:szCs w:val="18"/>
      <w:lang w:eastAsia="hi-IN" w:bidi="hi-I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03E4D"/>
    <w:rPr>
      <w:rFonts w:ascii="Times New Roman" w:eastAsia="SimSun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semiHidden/>
    <w:unhideWhenUsed/>
    <w:rsid w:val="00F03E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wystawy/codzienne-formy-opo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.twardowski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.noz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codzienne-formy-opor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2601</Words>
  <Characters>15606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Maria Nóżka</cp:lastModifiedBy>
  <cp:revision>2</cp:revision>
  <cp:lastPrinted>2019-01-24T13:16:00Z</cp:lastPrinted>
  <dcterms:created xsi:type="dcterms:W3CDTF">2021-07-21T06:48:00Z</dcterms:created>
  <dcterms:modified xsi:type="dcterms:W3CDTF">2021-07-21T06:48:00Z</dcterms:modified>
</cp:coreProperties>
</file>